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31" w:rsidRDefault="00EF2006" w:rsidP="00FF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0D31" w:rsidRPr="008D0D31">
        <w:rPr>
          <w:rFonts w:ascii="Times New Roman" w:hAnsi="Times New Roman" w:cs="Times New Roman"/>
          <w:b/>
          <w:sz w:val="28"/>
          <w:szCs w:val="28"/>
        </w:rPr>
        <w:t xml:space="preserve"> результатах внешней проверки годового отчета  об исполнении бюджета муниципального образования Приморско-Ахтарский район</w:t>
      </w:r>
      <w:r w:rsidR="00C23A89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38D5" w:rsidRPr="008D0D31" w:rsidRDefault="00FF38D5" w:rsidP="00FF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31" w:rsidRPr="006961C0" w:rsidRDefault="008D0D31" w:rsidP="00FF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31">
        <w:tab/>
      </w:r>
      <w:r w:rsidRPr="006961C0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Российской Федерации и статьей 16 Положения о бюджетно</w:t>
      </w:r>
      <w:r w:rsidR="00E8167C">
        <w:rPr>
          <w:rFonts w:ascii="Times New Roman" w:hAnsi="Times New Roman" w:cs="Times New Roman"/>
          <w:sz w:val="28"/>
          <w:szCs w:val="28"/>
        </w:rPr>
        <w:t xml:space="preserve">м процессе </w:t>
      </w:r>
      <w:r w:rsidRPr="006961C0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была проведена внешняя проверка отчета об исполнении </w:t>
      </w:r>
      <w:r w:rsidR="00E8167C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C23A89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6961C0">
        <w:rPr>
          <w:rFonts w:ascii="Times New Roman" w:hAnsi="Times New Roman" w:cs="Times New Roman"/>
          <w:sz w:val="28"/>
          <w:szCs w:val="28"/>
        </w:rPr>
        <w:t xml:space="preserve"> год</w:t>
      </w:r>
      <w:r w:rsidR="00E8167C">
        <w:rPr>
          <w:rFonts w:ascii="Times New Roman" w:hAnsi="Times New Roman" w:cs="Times New Roman"/>
          <w:sz w:val="28"/>
          <w:szCs w:val="28"/>
        </w:rPr>
        <w:t xml:space="preserve"> и подготовлено Заключение по результатам внешней проверки годового отчета районного бюджета</w:t>
      </w:r>
      <w:r w:rsidR="00DE0EC7" w:rsidRPr="00DE0EC7">
        <w:rPr>
          <w:rFonts w:ascii="Times New Roman" w:hAnsi="Times New Roman" w:cs="Times New Roman"/>
          <w:sz w:val="28"/>
          <w:szCs w:val="28"/>
        </w:rPr>
        <w:t xml:space="preserve"> с учетом внешней проверки бюджетной отчетности главных администраторов бюджетных средств.</w:t>
      </w:r>
    </w:p>
    <w:p w:rsidR="00973B3A" w:rsidRDefault="00973B3A" w:rsidP="00FF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D5" w:rsidRPr="00933331" w:rsidRDefault="00933331" w:rsidP="00FF3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31">
        <w:rPr>
          <w:rFonts w:ascii="Times New Roman" w:hAnsi="Times New Roman" w:cs="Times New Roman"/>
          <w:b/>
          <w:sz w:val="28"/>
          <w:szCs w:val="28"/>
        </w:rPr>
        <w:t xml:space="preserve">Основные выводы по результатам </w:t>
      </w:r>
      <w:r w:rsidR="00423BC0">
        <w:rPr>
          <w:rFonts w:ascii="Times New Roman" w:hAnsi="Times New Roman" w:cs="Times New Roman"/>
          <w:b/>
          <w:sz w:val="28"/>
          <w:szCs w:val="28"/>
        </w:rPr>
        <w:t xml:space="preserve">внешней </w:t>
      </w:r>
      <w:r w:rsidRPr="00933331">
        <w:rPr>
          <w:rFonts w:ascii="Times New Roman" w:hAnsi="Times New Roman" w:cs="Times New Roman"/>
          <w:b/>
          <w:sz w:val="28"/>
          <w:szCs w:val="28"/>
        </w:rPr>
        <w:t>проверки:</w:t>
      </w:r>
    </w:p>
    <w:p w:rsidR="00973B3A" w:rsidRDefault="00973B3A" w:rsidP="00973B3A">
      <w:pPr>
        <w:pStyle w:val="22"/>
        <w:shd w:val="clear" w:color="auto" w:fill="auto"/>
        <w:spacing w:after="0" w:line="24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3B3A" w:rsidRDefault="00973B3A" w:rsidP="0097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5AEB">
        <w:rPr>
          <w:rFonts w:ascii="Times New Roman" w:hAnsi="Times New Roman" w:cs="Times New Roman"/>
          <w:sz w:val="28"/>
          <w:szCs w:val="28"/>
        </w:rPr>
        <w:t xml:space="preserve"> В Заключении специалистами Палаты отмечено, что Отчет, документы и материалы, представляемые одновременно с ним, а также п</w:t>
      </w:r>
      <w:r>
        <w:rPr>
          <w:rFonts w:ascii="Times New Roman" w:hAnsi="Times New Roman" w:cs="Times New Roman"/>
          <w:sz w:val="28"/>
          <w:szCs w:val="28"/>
        </w:rPr>
        <w:t>роект решения «Об исполнении районного</w:t>
      </w:r>
      <w:r w:rsidRPr="00E25AEB">
        <w:rPr>
          <w:rFonts w:ascii="Times New Roman" w:hAnsi="Times New Roman" w:cs="Times New Roman"/>
          <w:sz w:val="28"/>
          <w:szCs w:val="28"/>
        </w:rPr>
        <w:t xml:space="preserve"> бюджета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25AEB">
        <w:rPr>
          <w:rFonts w:ascii="Times New Roman" w:hAnsi="Times New Roman" w:cs="Times New Roman"/>
          <w:sz w:val="28"/>
          <w:szCs w:val="28"/>
        </w:rPr>
        <w:t> год», документы и материалы, представляемые одновременно с ним, поступили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контрольно-счетную палату</w:t>
      </w:r>
      <w:r w:rsidRPr="00E25AEB">
        <w:rPr>
          <w:rFonts w:ascii="Times New Roman" w:hAnsi="Times New Roman" w:cs="Times New Roman"/>
          <w:sz w:val="28"/>
          <w:szCs w:val="28"/>
        </w:rPr>
        <w:t xml:space="preserve"> из 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Pr="00E25AEB">
        <w:rPr>
          <w:rFonts w:ascii="Times New Roman" w:hAnsi="Times New Roman" w:cs="Times New Roman"/>
          <w:sz w:val="28"/>
          <w:szCs w:val="28"/>
        </w:rPr>
        <w:t xml:space="preserve"> в соответствии со сроками, ус</w:t>
      </w:r>
      <w:r>
        <w:rPr>
          <w:rFonts w:ascii="Times New Roman" w:hAnsi="Times New Roman" w:cs="Times New Roman"/>
          <w:sz w:val="28"/>
          <w:szCs w:val="28"/>
        </w:rPr>
        <w:t>тановленными  бюджетным процессом</w:t>
      </w:r>
      <w:r w:rsidRPr="00E25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По итогам 2020 года сложились следующие основные характеристики исполнения консолидированного бюджета района: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Доходы – 1 733 648,0 тыс. рублей  (102,0 процента от годовых назначений, снижение к уровню прошлого года  89 541,6  тыс. рублей или 4,9 процента). 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>Налоговые и неналоговые доходы составили 577 929,0 тыс. рублей (117,8  процентов к утвержденным показателям, прирост 8,9 процента);</w:t>
      </w:r>
      <w:proofErr w:type="gramEnd"/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Расходы – 1 670 937,5 тыс. рублей (94,9 процента к утвержденным показателям, снижение к уровню прошлого года 10,3 процента);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Профицит консолидированного бюджета составил 62 710,5  тыс. рублей (в 2019 году бюджет исполнен с дефицитом 40 584,0 тыс. рублей).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2. Первоначально решением о бюджете были утверждены основные характеристики районного бюджета на 2020 год:  доходы – 908 587,9 тыс. рублей,  расходы  –  922 183,3  тыс. рублей,  дефицит бюджета – 13 595,4 тыс. рублей. Верх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ний предел муниципального долга  муниципального образования установлен в сумме 3 648,0 тыс. рублей.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В ходе исполнения в решение о бюджете изменения вносились 10 раз.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>Изменения основных характеристик районного бюджета в основном обусловлено необходимостью уточнения прогнозных показателей налоговых и неналоговых доходов, объемов поступле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ний межбюджетных трансфертов из краевого бюджета и соответствующе</w:t>
      </w:r>
      <w:r w:rsidRPr="00973B3A">
        <w:rPr>
          <w:rFonts w:ascii="Times New Roman" w:hAnsi="Times New Roman" w:cs="Times New Roman"/>
          <w:sz w:val="28"/>
          <w:szCs w:val="28"/>
        </w:rPr>
        <w:softHyphen/>
        <w:t xml:space="preserve">го уточнения расходов, включением неизрасходованных остатков средств бюджета, сформировавшихся на конец 2019 года и, вследствие этого, направлением их на увеличение финансового обеспечения действующих и принимаемых расходных обязательств. </w:t>
      </w:r>
      <w:proofErr w:type="gramEnd"/>
    </w:p>
    <w:p w:rsidR="00973B3A" w:rsidRPr="00973B3A" w:rsidRDefault="00973B3A" w:rsidP="00973B3A">
      <w:pPr>
        <w:pStyle w:val="3"/>
        <w:tabs>
          <w:tab w:val="left" w:pos="2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В результате внесенных изменений первоначально утвержденный общий объем доходов был увеличен на 256 550,7 тыс. рублей,</w:t>
      </w:r>
      <w:r w:rsidRPr="0097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B3A">
        <w:rPr>
          <w:rFonts w:ascii="Times New Roman" w:hAnsi="Times New Roman" w:cs="Times New Roman"/>
          <w:sz w:val="28"/>
          <w:szCs w:val="28"/>
        </w:rPr>
        <w:t>а расходов на 267 535,5 тыс. рублей.</w:t>
      </w:r>
      <w:r w:rsidRPr="0097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B3A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произведенных корректировок </w:t>
      </w:r>
      <w:r w:rsidRPr="00973B3A">
        <w:rPr>
          <w:rFonts w:ascii="Times New Roman" w:hAnsi="Times New Roman" w:cs="Times New Roman"/>
          <w:sz w:val="28"/>
          <w:szCs w:val="28"/>
        </w:rPr>
        <w:lastRenderedPageBreak/>
        <w:t>бюджетные назначения на 2020 год в процентном соотношении увеличены по доходам на 28,2  процента, по расходам – на 29 процентов.</w:t>
      </w:r>
    </w:p>
    <w:p w:rsidR="00973B3A" w:rsidRPr="00973B3A" w:rsidRDefault="00973B3A" w:rsidP="00973B3A">
      <w:pPr>
        <w:pStyle w:val="3"/>
        <w:tabs>
          <w:tab w:val="left" w:pos="2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В окончательной редакции решения  о бюджете сложились следующие ос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новные характеристики бюджета: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 доходы – 1 165 138,6 тыс. рублей, расходы – 1 189 718,8 тыс. рублей, дефицит бюджета – 24 580,2  тыс. рублей, верхний предел муниципального внутреннего долга по долговым обяза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тельствам  муниципального образования –  3 648,0 тыс. рублей.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Проведенный анализ основных характеристик районного бюджета нарушений бюджетного законодательства не выявил.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3. Исполнение бюджета организовано финансовым управлением администрации муниципального образования Приморско-Ахтарский район на основе сводной бюджетной росписи и кассового плана, а также на основе и с учетом других нормативных правовых актов муниципального образования Приморско-Ахтарский район, приня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тых в целях реализации требований бюджетного законодательства.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Показатели кассового плана и  сводной бюджетной росписи и соответствуют первоначально утвержденным бюджетным назначениям, даты их утверждения соответствуют срокам, предусмотренным БК РФ.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Сводная бюджетная роспись на 2020 год утверждена в соответствии с ведомственной структурой расходов и по кодам классификации расходов бюджетов РФ до подвида расходов, ее показатели соответствуют бюджетным ассигнованиям, утвержденным решением о  бюджете и лимитам бюджетных обязательств. Показатели кассового плана исполнения бюджета по расходам и источникам финансирования дефицита бюджета в части выбытия средств соответствуют показателям сводной бюджетной росписи и сбалансированы помесячно.</w:t>
      </w:r>
    </w:p>
    <w:p w:rsidR="00973B3A" w:rsidRPr="00973B3A" w:rsidRDefault="00973B3A" w:rsidP="00973B3A">
      <w:pPr>
        <w:pStyle w:val="3"/>
        <w:shd w:val="clear" w:color="auto" w:fill="auto"/>
        <w:tabs>
          <w:tab w:val="right" w:pos="89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4.</w:t>
      </w:r>
      <w:r w:rsidRPr="00973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B3A">
        <w:rPr>
          <w:rFonts w:ascii="Times New Roman" w:hAnsi="Times New Roman" w:cs="Times New Roman"/>
          <w:sz w:val="28"/>
          <w:szCs w:val="28"/>
        </w:rPr>
        <w:t>По итогам года по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казатели исполнения районного бюджета за 2020 год сложились: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по доходам   1 135 669,1 тыс. рублей или 100,6  процента  к утвержденным  годовым бюд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жетным назначениям (снижение  к уровню 2019 года на 13,3 процента или на 179 459,2 тыс. рублей);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по расходам   </w:t>
      </w:r>
      <w:r w:rsidRPr="00973B3A">
        <w:rPr>
          <w:rFonts w:ascii="Times New Roman" w:hAnsi="Times New Roman" w:cs="Times New Roman"/>
          <w:bCs/>
          <w:color w:val="000000"/>
          <w:sz w:val="28"/>
          <w:szCs w:val="28"/>
        </w:rPr>
        <w:t>1 135 669,1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 или 95,5 процента к утвержденным  годовым бюд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жетным назначениям (общий объем произведенных расходов к уровню 2019 года снизился на  17,4 процента или на 239 487,9 тыс. рублей);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Style w:val="10"/>
          <w:i w:val="0"/>
          <w:iCs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профицит  районного бюджета по итогу 2020 года составил </w:t>
      </w:r>
      <w:r w:rsidRPr="00973B3A">
        <w:rPr>
          <w:rFonts w:ascii="Times New Roman" w:hAnsi="Times New Roman" w:cs="Times New Roman"/>
          <w:bCs/>
          <w:color w:val="000000"/>
          <w:sz w:val="28"/>
          <w:szCs w:val="28"/>
        </w:rPr>
        <w:t>35 917,8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73B3A">
        <w:rPr>
          <w:rStyle w:val="10"/>
          <w:iCs/>
          <w:sz w:val="28"/>
          <w:szCs w:val="28"/>
        </w:rPr>
        <w:t xml:space="preserve">(в </w:t>
      </w:r>
      <w:r w:rsidRPr="00973B3A">
        <w:rPr>
          <w:rStyle w:val="12pt"/>
          <w:iCs/>
          <w:sz w:val="28"/>
          <w:szCs w:val="28"/>
        </w:rPr>
        <w:t>2019 году бюджет исполнен с дефицитом 24 110,9 тыс. рублей)</w:t>
      </w:r>
      <w:r w:rsidRPr="00973B3A">
        <w:rPr>
          <w:rStyle w:val="10"/>
          <w:iCs/>
          <w:sz w:val="28"/>
          <w:szCs w:val="28"/>
        </w:rPr>
        <w:t>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5.</w:t>
      </w:r>
      <w:r w:rsidRPr="00973B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73B3A">
        <w:rPr>
          <w:rFonts w:ascii="Times New Roman" w:hAnsi="Times New Roman" w:cs="Times New Roman"/>
          <w:sz w:val="28"/>
          <w:szCs w:val="28"/>
        </w:rPr>
        <w:t>В 2020 году доходы районного бюджета администрировали 22 главных ад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министратора доходов. Из них 9 главных администраторов доходов - это фе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деральные органы исполнительной власти и их территориальные подразделе</w:t>
      </w:r>
      <w:r w:rsidRPr="00973B3A">
        <w:rPr>
          <w:rFonts w:ascii="Times New Roman" w:hAnsi="Times New Roman" w:cs="Times New Roman"/>
          <w:sz w:val="28"/>
          <w:szCs w:val="28"/>
        </w:rPr>
        <w:softHyphen/>
        <w:t>ния в Краснодарском крае, 5 главных администраторов доходов - краевые ор</w:t>
      </w:r>
      <w:r w:rsidRPr="00973B3A">
        <w:rPr>
          <w:rFonts w:ascii="Times New Roman" w:hAnsi="Times New Roman" w:cs="Times New Roman"/>
          <w:sz w:val="28"/>
          <w:szCs w:val="28"/>
        </w:rPr>
        <w:softHyphen/>
      </w:r>
      <w:r w:rsidRPr="00973B3A">
        <w:rPr>
          <w:rFonts w:ascii="Times New Roman" w:hAnsi="Times New Roman" w:cs="Times New Roman"/>
          <w:sz w:val="28"/>
          <w:szCs w:val="28"/>
        </w:rPr>
        <w:lastRenderedPageBreak/>
        <w:t>ганы, 8 главных администратора доходов – районные органы местного самоуправления и их функциональные управления и отделы.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6.</w:t>
      </w:r>
      <w:r w:rsidRPr="00973B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73B3A">
        <w:rPr>
          <w:rFonts w:ascii="Times New Roman" w:hAnsi="Times New Roman" w:cs="Times New Roman"/>
          <w:sz w:val="28"/>
          <w:szCs w:val="28"/>
        </w:rPr>
        <w:t xml:space="preserve">Согласно Отчету в районный бюджет поступило доходов </w:t>
      </w:r>
      <w:r w:rsidRPr="00973B3A">
        <w:rPr>
          <w:rFonts w:ascii="Times New Roman" w:hAnsi="Times New Roman" w:cs="Times New Roman"/>
          <w:bCs/>
          <w:sz w:val="28"/>
          <w:szCs w:val="28"/>
        </w:rPr>
        <w:t>1 171 586,9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рублей, план по доходам перевыполнен на 0,6 процента или  на </w:t>
      </w:r>
      <w:r w:rsidRPr="00973B3A">
        <w:rPr>
          <w:rFonts w:ascii="Times New Roman" w:hAnsi="Times New Roman" w:cs="Times New Roman"/>
          <w:bCs/>
          <w:sz w:val="28"/>
          <w:szCs w:val="28"/>
        </w:rPr>
        <w:t>6 448,3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рублей, снижение к  соответствующему уровню 2019 года – </w:t>
      </w:r>
      <w:r w:rsidRPr="00973B3A">
        <w:rPr>
          <w:rFonts w:ascii="Times New Roman" w:hAnsi="Times New Roman" w:cs="Times New Roman"/>
          <w:bCs/>
          <w:sz w:val="28"/>
          <w:szCs w:val="28"/>
        </w:rPr>
        <w:t xml:space="preserve"> на 179 459,2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 или на 13,3 процента. Факт 2019 года – </w:t>
      </w:r>
      <w:r w:rsidRPr="00973B3A">
        <w:rPr>
          <w:rFonts w:ascii="Times New Roman" w:hAnsi="Times New Roman" w:cs="Times New Roman"/>
          <w:bCs/>
          <w:sz w:val="28"/>
          <w:szCs w:val="28"/>
        </w:rPr>
        <w:t>1 351 046,1</w:t>
      </w:r>
      <w:r w:rsidRPr="00973B3A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7. Собственные доходы поступили в районный бюджет в 2020 году в сумме  344 551,5 тыс. рублей, план по доходам перевыполнен на 19,4 процента или  на 55 964,6  тыс. рублей, прирост  к  соответствующему уровню 2019 года – 30 787,5 тыс. рублей или 9,8 процента.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Налоговые доходы поступили в бюджет района в 2020 году в сумме </w:t>
      </w:r>
      <w:r w:rsidRPr="00973B3A">
        <w:rPr>
          <w:rFonts w:ascii="Times New Roman" w:hAnsi="Times New Roman" w:cs="Times New Roman"/>
          <w:bCs/>
          <w:sz w:val="28"/>
          <w:szCs w:val="28"/>
        </w:rPr>
        <w:t>290 470,6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рублей, бюджетные назначения перевыполнены на 11,9 процента, динамика составила 106,9 процента.</w:t>
      </w:r>
      <w:r w:rsidRPr="00973B3A">
        <w:rPr>
          <w:rFonts w:ascii="Times New Roman" w:hAnsi="Times New Roman" w:cs="Times New Roman"/>
          <w:bCs/>
          <w:sz w:val="28"/>
          <w:szCs w:val="28"/>
        </w:rPr>
        <w:t xml:space="preserve"> В сравнении с 2019 годом  объем поступивших в бюджет налоговых доходов увеличился на 10 616,4 тыс. рублей.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Неналоговые доходы поступили в районный бюджет в 2020 году в сумме  </w:t>
      </w:r>
      <w:r w:rsidRPr="00973B3A">
        <w:rPr>
          <w:rFonts w:ascii="Times New Roman" w:hAnsi="Times New Roman" w:cs="Times New Roman"/>
          <w:bCs/>
          <w:sz w:val="28"/>
          <w:szCs w:val="28"/>
        </w:rPr>
        <w:t>54 080,9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рублей, или 186,5 процентов к утвержденному плану, рост к уровню прошлого года  на 11 939,1 тыс. рублей, или на 28,3 процента.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8. В ходе проверки полноты поступления доходов и иных платежей в бюджет района  по неналоговым доходам установлено.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2 статьи 17 Федерального закона № 161-ФЗ от 14.11.2002 года «О государственных и муниципальных унитарных предприятиях» муниципальное предприятие ежегодно перечисляет в соответствующий бюджет часть прибыли, остающейся в его распоряжении после уплаты налогов и иных обязательных платежей, в </w:t>
      </w:r>
      <w:hyperlink r:id="rId7" w:history="1">
        <w:r w:rsidRPr="00973B3A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973B3A">
        <w:rPr>
          <w:rFonts w:ascii="Times New Roman" w:hAnsi="Times New Roman" w:cs="Times New Roman"/>
          <w:sz w:val="28"/>
          <w:szCs w:val="28"/>
        </w:rPr>
        <w:t>, в размерах и в сроки, которые определяются органами местного самоуправления.</w:t>
      </w:r>
      <w:proofErr w:type="gramEnd"/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Порядок был принят только 28.10.2020 года (решение Совета муниципального образования Приморско-Ахтарский район № 16). До вступления в силу Порядка, в нарушение требований п.2 ст.17 Федерального закона №161-ФЗ, отчисление части прибыли </w:t>
      </w:r>
      <w:proofErr w:type="spellStart"/>
      <w:r w:rsidRPr="00973B3A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973B3A">
        <w:rPr>
          <w:rFonts w:ascii="Times New Roman" w:hAnsi="Times New Roman" w:cs="Times New Roman"/>
          <w:sz w:val="28"/>
          <w:szCs w:val="28"/>
        </w:rPr>
        <w:t xml:space="preserve"> осуществлялось на основании Плана подписанного заместителем главы муниципального образования Приморско-Ахтарский район, начальника управления экономики и инвестиций  и начальника отдела  экономического развития и курортной сферы. В соответствии с указанным планом в 2019 году МУП «Торговый комплекс Приморско-Ахтарского района» перечислил 1 364,5 тыс. рублей  (114,5 тыс. рублей окончательный расчет за 2018  год, 1 250,0 тыс. рублей часть прибыли за 2019 год), МУП «Приморско-Ахтарский ИКЦ» перечислил  70,0 тыс. рублей (за 2018 год).  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В  2020 году, в соответствии с Планом,  МУП «Торговый комплекс Приморско-Ахтарского района» перечислил 58,5 тыс. рублей (54,5 тыс. рублей </w:t>
      </w:r>
      <w:r w:rsidRPr="00973B3A"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окончательный расчет за 2019 год, 4,0 тыс. рублей часть прибыли за 2020 год), МУП «Приморско-Ахтарский ИКЦ» - 0 рублей.  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В 2019 году МУП «Торговый комплекс Приморско-Ахтарского района» перечислил в соответствии с Планом 1 364,5 тыс. рублей  (114,5 тыс. рублей окончательный расчет за 2018  год, 1 250,0 тыс. рублей часть прибыли за 2019 год).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Следовательно, снижение поступлений  по данному доходному источнику в 2020 году  к уровню 2019 года обусловлено не только ухудшением финансово-экономических показателей </w:t>
      </w:r>
      <w:proofErr w:type="spellStart"/>
      <w:r w:rsidRPr="00973B3A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973B3A">
        <w:rPr>
          <w:rFonts w:ascii="Times New Roman" w:hAnsi="Times New Roman" w:cs="Times New Roman"/>
          <w:sz w:val="28"/>
          <w:szCs w:val="28"/>
        </w:rPr>
        <w:t>, так и не перечислением в 2020 году части прибыли по итогам за 1 квартал, полугодие и 9 месяцев.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Фактически по итогам за 2020 год, в соответствии с представленными отчетами </w:t>
      </w:r>
      <w:proofErr w:type="spellStart"/>
      <w:r w:rsidRPr="00973B3A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973B3A">
        <w:rPr>
          <w:rFonts w:ascii="Times New Roman" w:hAnsi="Times New Roman" w:cs="Times New Roman"/>
          <w:sz w:val="28"/>
          <w:szCs w:val="28"/>
        </w:rPr>
        <w:t xml:space="preserve"> сложились следующие показатели: МУП «Торговый комплекс Приморско-Ахтарского района» чистая прибыль 1 637 тыс. рублей (814,5  тыс. рублей подлежит перечислению в бюджет);  МУП «Приморско-Ахтарский ИКЦ» чистая прибыль 11 тыс. рублей (5,5  тыс. рублей подлежит перечислению в бюджет).  Срок уплаты прибыли за 2020 год  –  05.04.2021 года. По состоянию на 26.04.2021 года средства  </w:t>
      </w:r>
      <w:r w:rsidRPr="00973B3A">
        <w:rPr>
          <w:rFonts w:ascii="Times New Roman" w:hAnsi="Times New Roman" w:cs="Times New Roman"/>
          <w:iCs/>
          <w:sz w:val="28"/>
          <w:szCs w:val="28"/>
        </w:rPr>
        <w:t xml:space="preserve">по доходам </w:t>
      </w:r>
      <w:r w:rsidRPr="00973B3A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>части прибыли, остающейся после уплаты налогов и иных обязательных платежей  муниципальных унитарных предприятий в доход  районного бюджета не поступили</w:t>
      </w:r>
      <w:proofErr w:type="gramEnd"/>
      <w:r w:rsidRPr="00973B3A">
        <w:rPr>
          <w:rFonts w:ascii="Times New Roman" w:hAnsi="Times New Roman" w:cs="Times New Roman"/>
          <w:sz w:val="28"/>
          <w:szCs w:val="28"/>
        </w:rPr>
        <w:t>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9. Безвозмездные поступления в районный бюджет за 2020 год составили  в общей сумме </w:t>
      </w:r>
      <w:r w:rsidRPr="00973B3A">
        <w:rPr>
          <w:rFonts w:ascii="Times New Roman" w:hAnsi="Times New Roman" w:cs="Times New Roman"/>
          <w:bCs/>
          <w:sz w:val="28"/>
          <w:szCs w:val="28"/>
        </w:rPr>
        <w:t>827 035,4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973B3A">
        <w:rPr>
          <w:rFonts w:ascii="Times New Roman" w:hAnsi="Times New Roman" w:cs="Times New Roman"/>
          <w:bCs/>
          <w:sz w:val="28"/>
          <w:szCs w:val="28"/>
        </w:rPr>
        <w:t>49 516,3</w:t>
      </w:r>
      <w:r w:rsidRPr="00973B3A">
        <w:rPr>
          <w:rFonts w:ascii="Times New Roman" w:hAnsi="Times New Roman" w:cs="Times New Roman"/>
          <w:sz w:val="28"/>
          <w:szCs w:val="28"/>
        </w:rPr>
        <w:t xml:space="preserve"> тыс. рублей или на 5,6 процента меньше утвержденных бюджетных назначений. </w:t>
      </w:r>
      <w:proofErr w:type="gramStart"/>
      <w:r w:rsidRPr="00973B3A">
        <w:rPr>
          <w:rFonts w:ascii="Times New Roman" w:hAnsi="Times New Roman" w:cs="Times New Roman"/>
          <w:bCs/>
          <w:sz w:val="28"/>
          <w:szCs w:val="28"/>
        </w:rPr>
        <w:t>В сравнении с 2019 годом  объем поступивших в бюджет района межбюджетных трансфертов  сократился на 210 246,7  тыс. рублей или  на 20,3 процента,</w:t>
      </w:r>
      <w:r w:rsidRPr="00973B3A">
        <w:rPr>
          <w:rFonts w:ascii="Times New Roman" w:hAnsi="Times New Roman" w:cs="Times New Roman"/>
          <w:sz w:val="28"/>
          <w:szCs w:val="28"/>
        </w:rPr>
        <w:t xml:space="preserve"> </w:t>
      </w:r>
      <w:r w:rsidRPr="00973B3A">
        <w:rPr>
          <w:rFonts w:ascii="Times New Roman" w:hAnsi="Times New Roman" w:cs="Times New Roman"/>
          <w:bCs/>
          <w:sz w:val="28"/>
          <w:szCs w:val="28"/>
        </w:rPr>
        <w:t>что обусловлено в основном снижением  бюджетных инвестиций в объекты</w:t>
      </w:r>
      <w:r w:rsidRPr="00973B3A">
        <w:rPr>
          <w:rFonts w:ascii="Times New Roman" w:hAnsi="Times New Roman" w:cs="Times New Roman"/>
          <w:sz w:val="28"/>
          <w:szCs w:val="28"/>
        </w:rPr>
        <w:t xml:space="preserve"> </w:t>
      </w:r>
      <w:r w:rsidRPr="00973B3A">
        <w:rPr>
          <w:rFonts w:ascii="Times New Roman" w:hAnsi="Times New Roman" w:cs="Times New Roman"/>
          <w:bCs/>
          <w:sz w:val="28"/>
          <w:szCs w:val="28"/>
        </w:rPr>
        <w:t>муниципальной собственности на развитие общественной инфраструктуры, в строительство и  оснащение объектов спортивной инфраструктуры, обновлением материально-технической базы  школ, с привлечением средств краевого бюджета, сокращением расходов на реализацию мероприятий государственной программы</w:t>
      </w:r>
      <w:proofErr w:type="gramEnd"/>
      <w:r w:rsidRPr="00973B3A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«Дети Кубани» в связи с введенным режимом повышенной готовности на территории Краснодарского края с 15 марта 2020 года и  отменой проведения массовых мероприятий.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10. Исполнение расходной части районного бюджета в 2020 году осуществлялось в соответствии со сводной бюджетной росписью, лимитами бюджетных обязательств и кассовым планом. Кассовые расходы районного бюджета в 2020 году составили   1 135 669,1 тыс. рублей или 95,5 процента от утвержденных назначений. По сравнению с 2019 годом расходы районного бюджета в отчетном периоде уменьшились  на  239 487,9  тыс. рублей или 17,4 </w:t>
      </w:r>
      <w:r w:rsidRPr="00973B3A">
        <w:rPr>
          <w:rFonts w:ascii="Times New Roman" w:hAnsi="Times New Roman" w:cs="Times New Roman"/>
          <w:sz w:val="28"/>
          <w:szCs w:val="28"/>
        </w:rPr>
        <w:lastRenderedPageBreak/>
        <w:t>процента.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11. По итогам  2020  года по шести разделам  функциональной классификации исполнение бюджетных назначений составило 100,0 процентов.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Ниже среднего уровня (95,5 процента) исполнены расходы по шести разделам, из них по разделу «Национальная экономика»  – 88,5 процента «Образование» – 95,0 процента, «Физическая культура и спорт – 90,2 процента.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12.  Как и в предыдущие годы,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>расходы, имеющие социальную направленность финансировались</w:t>
      </w:r>
      <w:proofErr w:type="gramEnd"/>
      <w:r w:rsidRPr="00973B3A">
        <w:rPr>
          <w:rFonts w:ascii="Times New Roman" w:hAnsi="Times New Roman" w:cs="Times New Roman"/>
          <w:sz w:val="28"/>
          <w:szCs w:val="28"/>
        </w:rPr>
        <w:t xml:space="preserve"> в приоритетном порядке. На указанные цели было направлено 1 005 558,3 тыс. рублей или 88,6 процента от общей суммы расходов районного бюджета.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13. В 2020 году исполнение бюджетных назначений по расходам осуществляли восемь главных распорядителей бюджетных средств.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  <w:r w:rsidRPr="00973B3A">
        <w:rPr>
          <w:rFonts w:ascii="Times New Roman" w:hAnsi="Times New Roman" w:cs="Times New Roman"/>
          <w:sz w:val="28"/>
          <w:szCs w:val="28"/>
        </w:rPr>
        <w:t xml:space="preserve"> назначений по пяти главным распорядителям  районного бюджета исполнены более чем на 99 процентов. Самое низкое исполнение 87,8 процента по администрации муниципального образования Приморско-Ахтарский район.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14. В 2020 году наибольшая доля в объеме расходов (60 процентов) приходится на предоставление субсидий бюджетным, автономным учреждениям и иным некоммерческим организациям.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 xml:space="preserve">За отчетный период бюджет района предоставил </w:t>
      </w:r>
      <w:r w:rsidRPr="00973B3A">
        <w:rPr>
          <w:rFonts w:ascii="Times New Roman" w:hAnsi="Times New Roman" w:cs="Times New Roman"/>
          <w:color w:val="000000"/>
          <w:sz w:val="28"/>
          <w:szCs w:val="28"/>
        </w:rPr>
        <w:t>субсидии бюджетным и автономным учреждениям на финансовое обеспечение выполнения муниципального задания на оказание муниципальных услуг (выполнение работ)   в сумме 629 904,5 тыс. рублей,  субсидии бюджетным и автономным учреждениям на иные цели в сумме 50 577,0 тыс. рублей, Субсидии на возмещение недополученных доходов и (или) возмещение фактически понесенных затрат 800,1  тыс. рублей.</w:t>
      </w:r>
      <w:proofErr w:type="gramEnd"/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B3A">
        <w:rPr>
          <w:rFonts w:ascii="Times New Roman" w:hAnsi="Times New Roman" w:cs="Times New Roman"/>
          <w:color w:val="000000"/>
          <w:sz w:val="28"/>
          <w:szCs w:val="28"/>
        </w:rPr>
        <w:t xml:space="preserve">Вторыми по величине из осуществляемых из районного бюджета расходов являются расходы на капитальные вложения в объекты муниципальной собственности. В 2020 году расходы составили 193 262,4 тыс. рублей (17  процентов).  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B3A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закупку товаров, работ, услуг составили 64 343,8  тыс. рублей (5,7  процента от общей суммы расходов). </w:t>
      </w:r>
      <w:proofErr w:type="gramStart"/>
      <w:r w:rsidRPr="00973B3A">
        <w:rPr>
          <w:rFonts w:ascii="Times New Roman" w:hAnsi="Times New Roman" w:cs="Times New Roman"/>
          <w:color w:val="000000"/>
          <w:sz w:val="28"/>
          <w:szCs w:val="28"/>
        </w:rPr>
        <w:t>В соответствии представленными главными распорядителями формами отчетности 0503175 «Сведения о принятых и не исполненных обязательствах получателя бюджетных средств», экономия при заключении муниципальных контрактов с применением конкурентных способов в 2020 году составила 1 524,2 тыс. рублей.</w:t>
      </w:r>
      <w:proofErr w:type="gramEnd"/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973B3A">
        <w:rPr>
          <w:rFonts w:ascii="Times New Roman" w:hAnsi="Times New Roman" w:cs="Times New Roman"/>
          <w:sz w:val="28"/>
          <w:szCs w:val="28"/>
        </w:rPr>
        <w:t>Исполнение бюджетных назначений по дорожному фонду составило        4 211,6 тыс. рублей или  81,6 процентов от утвержденных бюджетных ассигнований.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В 2020 году средства дорожного фонда были направлены на ремонт подъездной дороги от ст.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>Приазовская</w:t>
      </w:r>
      <w:proofErr w:type="gramEnd"/>
      <w:r w:rsidRPr="00973B3A">
        <w:rPr>
          <w:rFonts w:ascii="Times New Roman" w:hAnsi="Times New Roman" w:cs="Times New Roman"/>
          <w:sz w:val="28"/>
          <w:szCs w:val="28"/>
        </w:rPr>
        <w:t xml:space="preserve"> до села Пригородное (2 789,7 тыс. рублей), </w:t>
      </w:r>
      <w:proofErr w:type="spellStart"/>
      <w:r w:rsidRPr="00973B3A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973B3A">
        <w:rPr>
          <w:rFonts w:ascii="Times New Roman" w:hAnsi="Times New Roman" w:cs="Times New Roman"/>
          <w:sz w:val="28"/>
          <w:szCs w:val="28"/>
        </w:rPr>
        <w:t xml:space="preserve"> с подсыпкой дороги к х. Крупской и к х. Новые </w:t>
      </w:r>
      <w:proofErr w:type="spellStart"/>
      <w:r w:rsidRPr="00973B3A">
        <w:rPr>
          <w:rFonts w:ascii="Times New Roman" w:hAnsi="Times New Roman" w:cs="Times New Roman"/>
          <w:sz w:val="28"/>
          <w:szCs w:val="28"/>
        </w:rPr>
        <w:t>Лиманокирпили</w:t>
      </w:r>
      <w:proofErr w:type="spellEnd"/>
      <w:r w:rsidRPr="00973B3A">
        <w:rPr>
          <w:rFonts w:ascii="Times New Roman" w:hAnsi="Times New Roman" w:cs="Times New Roman"/>
          <w:sz w:val="28"/>
          <w:szCs w:val="28"/>
        </w:rPr>
        <w:t xml:space="preserve"> (850,0 тыс. рублей) и на содержание автомобильных дорог муниципального образования Приморско-Ахтарский район (81,9 тыс. рублей).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Остаток бюджетных средств дорожного фонда 2020 года  планируется </w:t>
      </w:r>
      <w:r w:rsidRPr="00973B3A">
        <w:rPr>
          <w:rFonts w:ascii="Times New Roman" w:hAnsi="Times New Roman" w:cs="Times New Roman"/>
          <w:sz w:val="28"/>
          <w:szCs w:val="28"/>
        </w:rPr>
        <w:lastRenderedPageBreak/>
        <w:t>освоить в 2021 году совместно со средствами дорожного фонда 2021 года.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16</w:t>
      </w:r>
      <w:r w:rsidRPr="00973B3A">
        <w:rPr>
          <w:rFonts w:ascii="Times New Roman" w:hAnsi="Times New Roman" w:cs="Times New Roman"/>
          <w:color w:val="000000"/>
          <w:sz w:val="28"/>
          <w:szCs w:val="28"/>
        </w:rPr>
        <w:t>. Объем средств резервного фонда составил 1 159,3 тыс. рублей или 0,09 процента от общего объема расходов районного бюджета, что не превышает предельного размера, установленного пунктом 3 статьи 81 Бюджетного кодекса РФ.  Средства резервного фонда администрации в 2019 году не распределялись.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973B3A">
        <w:rPr>
          <w:rFonts w:ascii="Times New Roman" w:hAnsi="Times New Roman" w:cs="Times New Roman"/>
          <w:sz w:val="28"/>
          <w:szCs w:val="28"/>
        </w:rPr>
        <w:t>Решением о бюджете общий объем межбюджетных трансфертов, предоставляемых бюджетам поселений, утвержден в сумме 1 500,0  тыс. рублей или 0,1  процента от общего объема расходов. Межбюджетные трансферты в 2020 году предоставлялись в форме дотаций на выравнивание бюджетной обеспеченности.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Наибольший удельный вес в 2020 году в общем объеме дотаций приходится на Приазовское сельское поселение (37,8 процента) и </w:t>
      </w:r>
      <w:proofErr w:type="spellStart"/>
      <w:r w:rsidRPr="00973B3A">
        <w:rPr>
          <w:rFonts w:ascii="Times New Roman" w:hAnsi="Times New Roman" w:cs="Times New Roman"/>
          <w:sz w:val="28"/>
          <w:szCs w:val="28"/>
        </w:rPr>
        <w:t>Бриньковское</w:t>
      </w:r>
      <w:proofErr w:type="spellEnd"/>
      <w:r w:rsidRPr="00973B3A">
        <w:rPr>
          <w:rFonts w:ascii="Times New Roman" w:hAnsi="Times New Roman" w:cs="Times New Roman"/>
          <w:sz w:val="28"/>
          <w:szCs w:val="28"/>
        </w:rPr>
        <w:t xml:space="preserve"> сельское поселение (34,3 процента).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18. В 2020 году районный бюджет исполнялся в разрезе 20 муниципальной программы, 2 ведомственных программ и непрограммных направлениях деятельности. На реализацию программных мероприятий было утверждено 1 018 356,2  тыс. рублей. Исполнение составило 968 226,7  тыс. рублей (95,1 процента). </w:t>
      </w:r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B3A">
        <w:rPr>
          <w:rFonts w:ascii="Times New Roman" w:hAnsi="Times New Roman" w:cs="Times New Roman"/>
          <w:sz w:val="28"/>
          <w:szCs w:val="28"/>
        </w:rPr>
        <w:t>В соответствии с требованием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Приморско-Ахтарский район», утвержденного постановлением администрации муниципального образования Приморско-Ахтарский район от 17 июля 2014 года № 1060, управлением экономического развития администрации муниципального образования Приморско-Ахтарский район, на основании отчетов координаторов муниципальных программ, сформирован доклад о ходе реализации муниципальных программ за 2020 год.</w:t>
      </w:r>
      <w:proofErr w:type="gramEnd"/>
    </w:p>
    <w:p w:rsidR="00973B3A" w:rsidRPr="00973B3A" w:rsidRDefault="00973B3A" w:rsidP="00973B3A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Эффективность реализации шестнадцати   муниципальных  программ признана высокой, у одной муниципальных программ  удовлетворительный  уровень эффективности, у трех программ неудовлетворительный уровень эффективности.</w:t>
      </w:r>
    </w:p>
    <w:p w:rsidR="00973B3A" w:rsidRPr="00973B3A" w:rsidRDefault="00973B3A" w:rsidP="00973B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B3A">
        <w:rPr>
          <w:rFonts w:ascii="Times New Roman" w:hAnsi="Times New Roman" w:cs="Times New Roman"/>
          <w:sz w:val="28"/>
          <w:szCs w:val="28"/>
        </w:rPr>
        <w:t>В  соответствии с требованиями Порядка разработки, утверждения и реализации ведомственных целевых программ, утвержденного постановлением главы муниципального образования Приморско-Ахтарский район от 05 марта 2009 года № 442, отделом инвестиций, целевых программ и поддержки субъектов МСП управления экономики и инвестиций администрации муниципального образования Приморско-Ахтарский район, на основании отчета субъектов бюджетного планирования, сформирован доклад   о ходе реализации ведомственных целевых программ за 2020 год.</w:t>
      </w:r>
      <w:proofErr w:type="gramEnd"/>
    </w:p>
    <w:p w:rsidR="00973B3A" w:rsidRPr="00973B3A" w:rsidRDefault="00973B3A" w:rsidP="00973B3A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По итогам проведенного мониторинга обе программы имеют высокий уровень эффективности.</w:t>
      </w:r>
    </w:p>
    <w:p w:rsidR="00973B3A" w:rsidRPr="00973B3A" w:rsidRDefault="00973B3A" w:rsidP="00973B3A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19. Состав источников финансирования дефицита муниципального </w:t>
      </w:r>
      <w:r w:rsidRPr="00973B3A">
        <w:rPr>
          <w:rFonts w:ascii="Times New Roman" w:hAnsi="Times New Roman" w:cs="Times New Roman"/>
          <w:sz w:val="28"/>
          <w:szCs w:val="28"/>
        </w:rPr>
        <w:lastRenderedPageBreak/>
        <w:t>бюджета соответствует статье 96 БК РФ.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По итогам 2020 года бюджет исполнен с профицитом в размере 35 917,8 тыс. рублей.  В отчетном периоде  кредиты не привлекались и не погашались.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В 2020 году администрацией муниципального образования Приморско-Ахтарский район был  предоставлен  кредит  бюджету Бородинского  сельского поселений на сумму 750 тыс. рублей, договор № 1/20 от 22.12.2020 г.  Бюджетный кредит предоставлен на частичное покрытие дефицита бюджета при наличии временного кассового разрыва.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20.  Муниципальный долг по состоянию на 01.01.2021 года сложился в сумме 3 648,0 тыс. рублей.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Анализ муниципального долга и расходов на его обслуживание показал, что указанные показатели не превышают предельных размеров, установленных статьями 107 и 111 Бюджетного кодекса РФ.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21.  Годовой отчет об исполнении районного бюджета за 2020 год представлен  администрацией Приморско-Ахтарского района в контрольно-счетную палату для проведения внешней проверки в соответствии со сроками, установленными бюджетным процессом.</w:t>
      </w:r>
    </w:p>
    <w:p w:rsidR="00973B3A" w:rsidRPr="00973B3A" w:rsidRDefault="00973B3A" w:rsidP="00973B3A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73B3A">
        <w:rPr>
          <w:rFonts w:ascii="Times New Roman" w:hAnsi="Times New Roman" w:cs="Times New Roman"/>
          <w:bCs/>
          <w:sz w:val="28"/>
          <w:szCs w:val="28"/>
        </w:rPr>
        <w:t>В ходе визуального контроля установлено, что бюджетная отчетность за 2020 год сформирована в составе форм отчетности,</w:t>
      </w:r>
      <w:r w:rsidRPr="00973B3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И</w:t>
      </w:r>
      <w:r w:rsidRPr="00973B3A">
        <w:rPr>
          <w:rFonts w:ascii="Times New Roman" w:hAnsi="Times New Roman" w:cs="Times New Roman"/>
          <w:color w:val="000000"/>
          <w:spacing w:val="1"/>
          <w:sz w:val="28"/>
          <w:szCs w:val="28"/>
        </w:rPr>
        <w:t>нструкция № 191н.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22. </w:t>
      </w:r>
      <w:r w:rsidRPr="00973B3A">
        <w:rPr>
          <w:rFonts w:ascii="Times New Roman" w:hAnsi="Times New Roman" w:cs="Times New Roman"/>
          <w:sz w:val="28"/>
          <w:szCs w:val="28"/>
        </w:rPr>
        <w:tab/>
        <w:t xml:space="preserve">По данным формы 0503120 </w:t>
      </w:r>
      <w:r w:rsidRPr="00973B3A">
        <w:rPr>
          <w:rFonts w:ascii="Times New Roman" w:hAnsi="Times New Roman" w:cs="Times New Roman"/>
          <w:sz w:val="28"/>
          <w:szCs w:val="28"/>
        </w:rPr>
        <w:tab/>
        <w:t>«Баланс исполнения бюджета» валюта баланса на конец отчетного периода составила 5 612 165,9 тыс. рублей. По сравнению с началом отчетного периода валюта увеличилась на 240 786,4 тыс. рублей (4,5 процента).</w:t>
      </w:r>
    </w:p>
    <w:p w:rsidR="00973B3A" w:rsidRPr="00973B3A" w:rsidRDefault="00973B3A" w:rsidP="00973B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B3A">
        <w:rPr>
          <w:rFonts w:ascii="Times New Roman" w:hAnsi="Times New Roman" w:cs="Times New Roman"/>
          <w:b w:val="0"/>
          <w:sz w:val="28"/>
          <w:szCs w:val="28"/>
        </w:rPr>
        <w:t>По   состоянию  на  01.01.2021 года нефинансовые активы составили 2 890 931,0 тыс. рублей  (51,5  процента  валюты баланса), финансовые активы 2 721 234,9 тыс. рублей (48,5 процента).</w:t>
      </w:r>
    </w:p>
    <w:p w:rsidR="00973B3A" w:rsidRPr="00973B3A" w:rsidRDefault="00973B3A" w:rsidP="00973B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3B3A">
        <w:rPr>
          <w:rFonts w:ascii="Times New Roman" w:hAnsi="Times New Roman" w:cs="Times New Roman"/>
          <w:b w:val="0"/>
          <w:sz w:val="28"/>
          <w:szCs w:val="28"/>
        </w:rPr>
        <w:t>Обязательства администрации на конец отчетного периода увеличились на 175 244,7 тыс. рублей (на 35,0 процентов)  и составили 620 755,1 тыс. рублей.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23. Остаток денежных средств бюджета района на 01.01.2021 года составил 75 040,8 тыс. рублей, из них  7,2 тыс. рублей  (7 217,59 рубля) –  остаток межбюджетных трансфертов из бюджетов поселений,  258,7 тыс. рублей (258 653,01 рубля) – средства районного дорожного фонда.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24.   Общий объем дебиторской задолженности по доходам по состоянию на 01.01.2021 года составляет 666 884,5 тыс. рублей. Дебиторская задолженность по выплатам увеличилась за отчетный период на  41,1 тыс. рублей и составила на 01.01.2021 года 513,1 тыс. рублей.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25. Кредиторская задолженность по выплатам уменьшилась в течение отчетного периода на 4 502,3 тыс. рублей (в 42 раза)  и составила на </w:t>
      </w:r>
      <w:r w:rsidRPr="00973B3A">
        <w:rPr>
          <w:rFonts w:ascii="Times New Roman" w:hAnsi="Times New Roman" w:cs="Times New Roman"/>
          <w:sz w:val="28"/>
          <w:szCs w:val="28"/>
        </w:rPr>
        <w:lastRenderedPageBreak/>
        <w:t xml:space="preserve">01.01.2021года 108,7 тыс. рублей. Основная причина уменьшения погашение задолженности перед АО «НЭСК-электросети» за технологическое присоединение к электрическим сетям.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Кредиторская задолженность по доходам составила на конец отчетного периода 387,0 тыс. рублей. По сравнению с началом отчетного периода кредиторская задолженность уменьшилась на 98,1 тыс. рублей.</w:t>
      </w:r>
    </w:p>
    <w:p w:rsidR="00973B3A" w:rsidRPr="00973B3A" w:rsidRDefault="00973B3A" w:rsidP="00973B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26.  По результатам внешней проверки годовой отчетности главных администраторов бюджетных средств, установлено, что </w:t>
      </w:r>
      <w:r w:rsidRPr="00973B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бюджетная отчетность </w:t>
      </w:r>
      <w:r w:rsidRPr="00973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2020 год </w:t>
      </w:r>
      <w:r w:rsidRPr="00973B3A">
        <w:rPr>
          <w:rFonts w:ascii="Times New Roman" w:hAnsi="Times New Roman" w:cs="Times New Roman"/>
          <w:color w:val="000000"/>
          <w:sz w:val="28"/>
          <w:szCs w:val="28"/>
        </w:rPr>
        <w:t xml:space="preserve">в целом составлена в соответствии с требованиями Инструкции </w:t>
      </w:r>
      <w:r w:rsidRPr="00973B3A">
        <w:rPr>
          <w:rFonts w:ascii="Times New Roman" w:hAnsi="Times New Roman" w:cs="Times New Roman"/>
          <w:sz w:val="28"/>
          <w:szCs w:val="28"/>
        </w:rPr>
        <w:t xml:space="preserve"> № 191н</w:t>
      </w:r>
      <w:r w:rsidRPr="00973B3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73B3A" w:rsidRPr="00973B3A" w:rsidRDefault="00973B3A" w:rsidP="00973B3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highlight w:val="yellow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По результатам проверки внешней отчетности главных администраторов бюджетных средств  составлено 8 актов.  </w:t>
      </w:r>
      <w:r w:rsidRPr="00973B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Без замечаний  составлены акты по семи  ГАБС.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результатам проверки ГАБС </w:t>
      </w:r>
      <w:r w:rsidRPr="00973B3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Приморско-Ахтарский район </w:t>
      </w:r>
      <w:r w:rsidRPr="00973B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установлено, что  </w:t>
      </w:r>
      <w:r w:rsidRPr="00973B3A">
        <w:rPr>
          <w:rFonts w:ascii="Times New Roman" w:hAnsi="Times New Roman" w:cs="Times New Roman"/>
          <w:sz w:val="28"/>
          <w:szCs w:val="28"/>
        </w:rPr>
        <w:t xml:space="preserve">Текстовая часть Пояснительной записки оформлена  с нарушением  требований  пункта 152 инструкции 191н.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В ходе проведения анализа текущей задолженности  по арендным платежам, отраженной  в бюджетной отчетности с данными текущей задолженности, отраженной в акте сверки поступлений в бюджет муниципального образования Приморско-Ахтарский район по администратору поступлений «902» и итоговыми данными задолженности  плательщиков по арендным платежам из  информационной базы данных плательщиков  расхождений не установлено.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73B3A">
        <w:rPr>
          <w:rFonts w:ascii="Times New Roman" w:hAnsi="Times New Roman" w:cs="Times New Roman"/>
          <w:sz w:val="28"/>
          <w:szCs w:val="28"/>
        </w:rPr>
        <w:t xml:space="preserve">Вместе с тем, контрольно-счетная палата отмечает, что  текущая задолженность по арендным платежам является значительной (по состоянию не 01.01.2021 года - 21 218,1  тыс. рублей), в связи, с чем  администратору неналоговых доходов бюджета района </w:t>
      </w:r>
      <w:r w:rsidRPr="00973B3A">
        <w:rPr>
          <w:rFonts w:ascii="Times New Roman" w:hAnsi="Times New Roman" w:cs="Times New Roman"/>
          <w:sz w:val="28"/>
          <w:szCs w:val="28"/>
          <w:lang w:bidi="ru-RU"/>
        </w:rPr>
        <w:t>принять меры по повышению качества управлением дебиторской задолженностью по доходам районного бюджета, администрирования неналоговых доходов, активизировать работу  по сокращению задолженности перед  районным бюджетом и принятие более действенных мер</w:t>
      </w:r>
      <w:proofErr w:type="gramEnd"/>
      <w:r w:rsidRPr="00973B3A">
        <w:rPr>
          <w:rFonts w:ascii="Times New Roman" w:hAnsi="Times New Roman" w:cs="Times New Roman"/>
          <w:sz w:val="28"/>
          <w:szCs w:val="28"/>
          <w:lang w:bidi="ru-RU"/>
        </w:rPr>
        <w:t xml:space="preserve"> по погашению имеющейся задолженности. 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По результатам проверки в адрес администрации муниципального образования Приморско-Ахтарский район направлено  представление с предложениями об устранении выявленных недостатков и нарушений.</w:t>
      </w:r>
    </w:p>
    <w:p w:rsidR="00973B3A" w:rsidRPr="00973B3A" w:rsidRDefault="00973B3A" w:rsidP="00973B3A">
      <w:pPr>
        <w:pStyle w:val="2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73B3A" w:rsidRPr="00973B3A" w:rsidRDefault="00973B3A" w:rsidP="00973B3A">
      <w:pPr>
        <w:pStyle w:val="22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973B3A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973B3A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1. Главным администраторам до</w:t>
      </w:r>
      <w:r w:rsidRPr="00973B3A">
        <w:rPr>
          <w:rFonts w:ascii="Times New Roman" w:hAnsi="Times New Roman" w:cs="Times New Roman"/>
          <w:sz w:val="28"/>
          <w:szCs w:val="28"/>
        </w:rPr>
        <w:softHyphen/>
        <w:t xml:space="preserve">ходов, главным распорядителям средств </w:t>
      </w:r>
      <w:r w:rsidRPr="00973B3A">
        <w:rPr>
          <w:rFonts w:ascii="Times New Roman" w:hAnsi="Times New Roman" w:cs="Times New Roman"/>
          <w:sz w:val="28"/>
          <w:szCs w:val="28"/>
        </w:rPr>
        <w:lastRenderedPageBreak/>
        <w:t>районного бюджета, главным администраторам источников финансирования дефицита бюджета, координаторам и исполнителям муниципальных программ: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B3A">
        <w:rPr>
          <w:rFonts w:ascii="Times New Roman" w:hAnsi="Times New Roman" w:cs="Times New Roman"/>
          <w:sz w:val="28"/>
          <w:szCs w:val="28"/>
        </w:rPr>
        <w:t>– учесть изложенные в настоящем заключении замечания, недостатки и нарушения, принять меры по их устранению в ходе исполнения бюджета 2021 года и при формировании проекта бюджета муниципального образования Приморско-Ахтарский район на 2022 год и на плановый период 2023 и 2024 годов, а также продолжить работу по укреплению дисциплины в муниципальных учреждениях муниципального образования Приморско-Ахтарский район, улучшению работы внутреннего контроля и аудита</w:t>
      </w:r>
      <w:proofErr w:type="gramEnd"/>
      <w:r w:rsidRPr="00973B3A">
        <w:rPr>
          <w:rFonts w:ascii="Times New Roman" w:hAnsi="Times New Roman" w:cs="Times New Roman"/>
          <w:sz w:val="28"/>
          <w:szCs w:val="28"/>
        </w:rPr>
        <w:t xml:space="preserve"> соответствующих финансовых и бухгалтерских подразделений.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2. Главному администратору неналоговых доходов бюджета муниципального образования Приморско-Ахтарский район (администрации муниципального образования Приморско-Ахтарский район):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B3A">
        <w:rPr>
          <w:rFonts w:ascii="Times New Roman" w:hAnsi="Times New Roman" w:cs="Times New Roman"/>
          <w:sz w:val="28"/>
          <w:szCs w:val="28"/>
        </w:rPr>
        <w:t>– принять меры по взысканию задолженности в доход районного бюджета</w:t>
      </w:r>
      <w:r w:rsidRPr="00973B3A">
        <w:rPr>
          <w:rFonts w:ascii="Times New Roman" w:hAnsi="Times New Roman" w:cs="Times New Roman"/>
          <w:iCs/>
          <w:sz w:val="28"/>
          <w:szCs w:val="28"/>
        </w:rPr>
        <w:t xml:space="preserve"> по доходам от </w:t>
      </w:r>
      <w:r w:rsidRPr="00973B3A">
        <w:rPr>
          <w:rFonts w:ascii="Times New Roman" w:hAnsi="Times New Roman" w:cs="Times New Roman"/>
          <w:sz w:val="28"/>
          <w:szCs w:val="28"/>
        </w:rPr>
        <w:t>перечисления части прибыли, остающейся после уплаты налогов и иных обязательных платежей  муниципальных унитарных предприятий в сумме 820,0 тыс. рублей;</w:t>
      </w:r>
      <w:r w:rsidRPr="00973B3A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End"/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– повысить качество мониторинга и управления дебиторской задолженности по неналоговым доходам районного  бюджета, усилить работу по взысканию в бюджет доходов от собственности и арендных платежей;</w:t>
      </w:r>
    </w:p>
    <w:p w:rsidR="00973B3A" w:rsidRPr="00973B3A" w:rsidRDefault="00973B3A" w:rsidP="00973B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 xml:space="preserve">– активизировать </w:t>
      </w:r>
      <w:proofErr w:type="spellStart"/>
      <w:r w:rsidRPr="00973B3A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73B3A">
        <w:rPr>
          <w:rFonts w:ascii="Times New Roman" w:hAnsi="Times New Roman" w:cs="Times New Roman"/>
          <w:sz w:val="28"/>
          <w:szCs w:val="28"/>
        </w:rPr>
        <w:t>-исковую работу по взысканию неналоговых доходов;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Контрольно-счетная палата считает возможным утвердить годовой отчет администрации муниципального образования Приморско-Ахтарский район об исполнении  бюджета муниципального образования Приморско-Ахтарский район за 2020 год.</w:t>
      </w: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73B3A" w:rsidRPr="00973B3A" w:rsidRDefault="00973B3A" w:rsidP="00973B3A">
      <w:pPr>
        <w:pStyle w:val="3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73B3A" w:rsidRPr="00973B3A" w:rsidRDefault="00973B3A" w:rsidP="00973B3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973B3A" w:rsidRPr="00973B3A" w:rsidRDefault="00973B3A" w:rsidP="00973B3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3B3A" w:rsidRPr="00973B3A" w:rsidRDefault="00973B3A" w:rsidP="00973B3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B3A">
        <w:rPr>
          <w:rFonts w:ascii="Times New Roman" w:hAnsi="Times New Roman" w:cs="Times New Roman"/>
          <w:sz w:val="28"/>
          <w:szCs w:val="28"/>
        </w:rPr>
        <w:t>Приморско-Ахтарский  район</w:t>
      </w:r>
      <w:r w:rsidRPr="00973B3A">
        <w:rPr>
          <w:rFonts w:ascii="Times New Roman" w:hAnsi="Times New Roman" w:cs="Times New Roman"/>
          <w:sz w:val="28"/>
          <w:szCs w:val="28"/>
        </w:rPr>
        <w:tab/>
      </w:r>
      <w:r w:rsidRPr="00973B3A">
        <w:rPr>
          <w:rFonts w:ascii="Times New Roman" w:hAnsi="Times New Roman" w:cs="Times New Roman"/>
          <w:sz w:val="28"/>
          <w:szCs w:val="28"/>
        </w:rPr>
        <w:tab/>
      </w:r>
      <w:r w:rsidRPr="00973B3A">
        <w:rPr>
          <w:rFonts w:ascii="Times New Roman" w:hAnsi="Times New Roman" w:cs="Times New Roman"/>
          <w:sz w:val="28"/>
          <w:szCs w:val="28"/>
        </w:rPr>
        <w:tab/>
      </w:r>
      <w:r w:rsidRPr="00973B3A">
        <w:rPr>
          <w:rFonts w:ascii="Times New Roman" w:hAnsi="Times New Roman" w:cs="Times New Roman"/>
          <w:sz w:val="28"/>
          <w:szCs w:val="28"/>
        </w:rPr>
        <w:tab/>
      </w:r>
      <w:r w:rsidRPr="00973B3A">
        <w:rPr>
          <w:rFonts w:ascii="Times New Roman" w:hAnsi="Times New Roman" w:cs="Times New Roman"/>
          <w:sz w:val="28"/>
          <w:szCs w:val="28"/>
        </w:rPr>
        <w:tab/>
      </w:r>
      <w:r w:rsidRPr="00973B3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73B3A">
        <w:rPr>
          <w:rFonts w:ascii="Times New Roman" w:hAnsi="Times New Roman" w:cs="Times New Roman"/>
          <w:sz w:val="28"/>
          <w:szCs w:val="28"/>
        </w:rPr>
        <w:t>Т.Е.Кисляк</w:t>
      </w:r>
      <w:proofErr w:type="spellEnd"/>
    </w:p>
    <w:p w:rsidR="00BC23F3" w:rsidRDefault="00BA4E42" w:rsidP="00FF38D5">
      <w:pPr>
        <w:spacing w:after="0" w:line="240" w:lineRule="auto"/>
        <w:jc w:val="both"/>
      </w:pPr>
      <w:r w:rsidRPr="00BA4E42">
        <w:rPr>
          <w:rFonts w:ascii="Times New Roman" w:hAnsi="Times New Roman" w:cs="Times New Roman"/>
          <w:sz w:val="28"/>
          <w:szCs w:val="28"/>
        </w:rPr>
        <w:tab/>
      </w:r>
    </w:p>
    <w:sectPr w:rsidR="00BC23F3" w:rsidSect="00FF3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3A" w:rsidRDefault="00973B3A" w:rsidP="00973B3A">
      <w:pPr>
        <w:spacing w:after="0" w:line="240" w:lineRule="auto"/>
      </w:pPr>
      <w:r>
        <w:separator/>
      </w:r>
    </w:p>
  </w:endnote>
  <w:endnote w:type="continuationSeparator" w:id="0">
    <w:p w:rsidR="00973B3A" w:rsidRDefault="00973B3A" w:rsidP="0097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3A" w:rsidRDefault="00973B3A" w:rsidP="00973B3A">
      <w:pPr>
        <w:spacing w:after="0" w:line="240" w:lineRule="auto"/>
      </w:pPr>
      <w:r>
        <w:separator/>
      </w:r>
    </w:p>
  </w:footnote>
  <w:footnote w:type="continuationSeparator" w:id="0">
    <w:p w:rsidR="00973B3A" w:rsidRDefault="00973B3A" w:rsidP="00973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1"/>
    <w:rsid w:val="00042ABF"/>
    <w:rsid w:val="000465A3"/>
    <w:rsid w:val="00096885"/>
    <w:rsid w:val="000B1259"/>
    <w:rsid w:val="000B257F"/>
    <w:rsid w:val="000B2E0A"/>
    <w:rsid w:val="000F465A"/>
    <w:rsid w:val="00130319"/>
    <w:rsid w:val="001A6855"/>
    <w:rsid w:val="001C67DB"/>
    <w:rsid w:val="00223C26"/>
    <w:rsid w:val="00235863"/>
    <w:rsid w:val="0029073B"/>
    <w:rsid w:val="00291ED9"/>
    <w:rsid w:val="002A306D"/>
    <w:rsid w:val="00324568"/>
    <w:rsid w:val="003268E1"/>
    <w:rsid w:val="00365149"/>
    <w:rsid w:val="00370A9C"/>
    <w:rsid w:val="003754A9"/>
    <w:rsid w:val="003766E5"/>
    <w:rsid w:val="003E231B"/>
    <w:rsid w:val="0042098C"/>
    <w:rsid w:val="00423BC0"/>
    <w:rsid w:val="004242B0"/>
    <w:rsid w:val="004878BC"/>
    <w:rsid w:val="004C6497"/>
    <w:rsid w:val="004E2340"/>
    <w:rsid w:val="004F380E"/>
    <w:rsid w:val="005333A0"/>
    <w:rsid w:val="00584856"/>
    <w:rsid w:val="00592738"/>
    <w:rsid w:val="005B0BAE"/>
    <w:rsid w:val="005B2B93"/>
    <w:rsid w:val="005B352A"/>
    <w:rsid w:val="005D6141"/>
    <w:rsid w:val="00654AEA"/>
    <w:rsid w:val="006961C0"/>
    <w:rsid w:val="006C0801"/>
    <w:rsid w:val="006D2B03"/>
    <w:rsid w:val="006D62A9"/>
    <w:rsid w:val="006D7A1C"/>
    <w:rsid w:val="00700DDC"/>
    <w:rsid w:val="00712FB5"/>
    <w:rsid w:val="00753916"/>
    <w:rsid w:val="007759DC"/>
    <w:rsid w:val="007876DD"/>
    <w:rsid w:val="007B440C"/>
    <w:rsid w:val="007D6E10"/>
    <w:rsid w:val="007E20E8"/>
    <w:rsid w:val="00830816"/>
    <w:rsid w:val="00831B0B"/>
    <w:rsid w:val="00841035"/>
    <w:rsid w:val="00843267"/>
    <w:rsid w:val="00852122"/>
    <w:rsid w:val="008C23FC"/>
    <w:rsid w:val="008C50BF"/>
    <w:rsid w:val="008D0D31"/>
    <w:rsid w:val="008E15B0"/>
    <w:rsid w:val="008E208F"/>
    <w:rsid w:val="008F4B72"/>
    <w:rsid w:val="00900F8C"/>
    <w:rsid w:val="00920612"/>
    <w:rsid w:val="00933331"/>
    <w:rsid w:val="009466AF"/>
    <w:rsid w:val="0096203F"/>
    <w:rsid w:val="00973B3A"/>
    <w:rsid w:val="009B511D"/>
    <w:rsid w:val="009E47F2"/>
    <w:rsid w:val="009F711F"/>
    <w:rsid w:val="00A12DEE"/>
    <w:rsid w:val="00B44A9A"/>
    <w:rsid w:val="00B56555"/>
    <w:rsid w:val="00BA4E42"/>
    <w:rsid w:val="00BC23F3"/>
    <w:rsid w:val="00BE0C95"/>
    <w:rsid w:val="00C23A89"/>
    <w:rsid w:val="00C23D37"/>
    <w:rsid w:val="00C55012"/>
    <w:rsid w:val="00C656F0"/>
    <w:rsid w:val="00C73451"/>
    <w:rsid w:val="00C82DF4"/>
    <w:rsid w:val="00CA7371"/>
    <w:rsid w:val="00CB25E7"/>
    <w:rsid w:val="00CE7D44"/>
    <w:rsid w:val="00DE0EC7"/>
    <w:rsid w:val="00E203B6"/>
    <w:rsid w:val="00E25AEB"/>
    <w:rsid w:val="00E8167C"/>
    <w:rsid w:val="00EF2006"/>
    <w:rsid w:val="00EF5FF7"/>
    <w:rsid w:val="00F10E58"/>
    <w:rsid w:val="00F11172"/>
    <w:rsid w:val="00F21AF1"/>
    <w:rsid w:val="00F279BC"/>
    <w:rsid w:val="00F320EB"/>
    <w:rsid w:val="00F5715F"/>
    <w:rsid w:val="00F7735B"/>
    <w:rsid w:val="00F909BC"/>
    <w:rsid w:val="00FA4035"/>
    <w:rsid w:val="00FF029A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754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4A9"/>
  </w:style>
  <w:style w:type="paragraph" w:styleId="a3">
    <w:name w:val="Balloon Text"/>
    <w:basedOn w:val="a"/>
    <w:link w:val="a4"/>
    <w:uiPriority w:val="99"/>
    <w:semiHidden/>
    <w:unhideWhenUsed/>
    <w:rsid w:val="00FF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738"/>
    <w:pPr>
      <w:spacing w:after="0" w:line="240" w:lineRule="auto"/>
    </w:pPr>
  </w:style>
  <w:style w:type="character" w:styleId="a6">
    <w:name w:val="Hyperlink"/>
    <w:uiPriority w:val="99"/>
    <w:semiHidden/>
    <w:unhideWhenUsed/>
    <w:rsid w:val="00973B3A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сновной текст_"/>
    <w:link w:val="3"/>
    <w:uiPriority w:val="99"/>
    <w:locked/>
    <w:rsid w:val="00973B3A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973B3A"/>
    <w:pPr>
      <w:widowControl w:val="0"/>
      <w:shd w:val="clear" w:color="auto" w:fill="FFFFFF"/>
      <w:spacing w:before="240" w:after="60" w:line="240" w:lineRule="atLeast"/>
      <w:ind w:hanging="1920"/>
      <w:jc w:val="center"/>
    </w:pPr>
    <w:rPr>
      <w:sz w:val="26"/>
    </w:rPr>
  </w:style>
  <w:style w:type="character" w:customStyle="1" w:styleId="21">
    <w:name w:val="Основной текст (2)_"/>
    <w:link w:val="22"/>
    <w:uiPriority w:val="99"/>
    <w:locked/>
    <w:rsid w:val="00973B3A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3B3A"/>
    <w:pPr>
      <w:widowControl w:val="0"/>
      <w:shd w:val="clear" w:color="auto" w:fill="FFFFFF"/>
      <w:spacing w:after="240" w:line="322" w:lineRule="exact"/>
      <w:ind w:hanging="880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973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+ 10"/>
    <w:aliases w:val="5 pt31,Курсив14"/>
    <w:uiPriority w:val="99"/>
    <w:rsid w:val="00973B3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12pt">
    <w:name w:val="Основной текст + 12 pt"/>
    <w:aliases w:val="Курсив13"/>
    <w:uiPriority w:val="99"/>
    <w:rsid w:val="00973B3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paragraph" w:styleId="a8">
    <w:name w:val="header"/>
    <w:basedOn w:val="a"/>
    <w:link w:val="a9"/>
    <w:uiPriority w:val="99"/>
    <w:unhideWhenUsed/>
    <w:rsid w:val="0097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B3A"/>
  </w:style>
  <w:style w:type="paragraph" w:styleId="aa">
    <w:name w:val="footer"/>
    <w:basedOn w:val="a"/>
    <w:link w:val="ab"/>
    <w:uiPriority w:val="99"/>
    <w:unhideWhenUsed/>
    <w:rsid w:val="0097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754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54A9"/>
  </w:style>
  <w:style w:type="paragraph" w:styleId="a3">
    <w:name w:val="Balloon Text"/>
    <w:basedOn w:val="a"/>
    <w:link w:val="a4"/>
    <w:uiPriority w:val="99"/>
    <w:semiHidden/>
    <w:unhideWhenUsed/>
    <w:rsid w:val="00FF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738"/>
    <w:pPr>
      <w:spacing w:after="0" w:line="240" w:lineRule="auto"/>
    </w:pPr>
  </w:style>
  <w:style w:type="character" w:styleId="a6">
    <w:name w:val="Hyperlink"/>
    <w:uiPriority w:val="99"/>
    <w:semiHidden/>
    <w:unhideWhenUsed/>
    <w:rsid w:val="00973B3A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сновной текст_"/>
    <w:link w:val="3"/>
    <w:uiPriority w:val="99"/>
    <w:locked/>
    <w:rsid w:val="00973B3A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973B3A"/>
    <w:pPr>
      <w:widowControl w:val="0"/>
      <w:shd w:val="clear" w:color="auto" w:fill="FFFFFF"/>
      <w:spacing w:before="240" w:after="60" w:line="240" w:lineRule="atLeast"/>
      <w:ind w:hanging="1920"/>
      <w:jc w:val="center"/>
    </w:pPr>
    <w:rPr>
      <w:sz w:val="26"/>
    </w:rPr>
  </w:style>
  <w:style w:type="character" w:customStyle="1" w:styleId="21">
    <w:name w:val="Основной текст (2)_"/>
    <w:link w:val="22"/>
    <w:uiPriority w:val="99"/>
    <w:locked/>
    <w:rsid w:val="00973B3A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3B3A"/>
    <w:pPr>
      <w:widowControl w:val="0"/>
      <w:shd w:val="clear" w:color="auto" w:fill="FFFFFF"/>
      <w:spacing w:after="240" w:line="322" w:lineRule="exact"/>
      <w:ind w:hanging="880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973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Основной текст + 10"/>
    <w:aliases w:val="5 pt31,Курсив14"/>
    <w:uiPriority w:val="99"/>
    <w:rsid w:val="00973B3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12pt">
    <w:name w:val="Основной текст + 12 pt"/>
    <w:aliases w:val="Курсив13"/>
    <w:uiPriority w:val="99"/>
    <w:rsid w:val="00973B3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paragraph" w:styleId="a8">
    <w:name w:val="header"/>
    <w:basedOn w:val="a"/>
    <w:link w:val="a9"/>
    <w:uiPriority w:val="99"/>
    <w:unhideWhenUsed/>
    <w:rsid w:val="0097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B3A"/>
  </w:style>
  <w:style w:type="paragraph" w:styleId="aa">
    <w:name w:val="footer"/>
    <w:basedOn w:val="a"/>
    <w:link w:val="ab"/>
    <w:uiPriority w:val="99"/>
    <w:unhideWhenUsed/>
    <w:rsid w:val="0097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6413.10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ksp1</dc:creator>
  <cp:lastModifiedBy>KSP01</cp:lastModifiedBy>
  <cp:revision>3</cp:revision>
  <cp:lastPrinted>2020-07-29T06:20:00Z</cp:lastPrinted>
  <dcterms:created xsi:type="dcterms:W3CDTF">2021-05-17T10:02:00Z</dcterms:created>
  <dcterms:modified xsi:type="dcterms:W3CDTF">2021-05-18T12:37:00Z</dcterms:modified>
</cp:coreProperties>
</file>